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69" w:rsidRPr="00951132" w:rsidRDefault="00AF0F54" w:rsidP="00A206D4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 rendu de la c</w:t>
      </w:r>
      <w:r w:rsidR="00B86C2F">
        <w:rPr>
          <w:sz w:val="28"/>
          <w:szCs w:val="28"/>
        </w:rPr>
        <w:t>onsultation du public concernant 6 arrêtés préfectoraux régle</w:t>
      </w:r>
      <w:r w:rsidR="008177D2">
        <w:rPr>
          <w:sz w:val="28"/>
          <w:szCs w:val="28"/>
        </w:rPr>
        <w:t>mentant la saison de chasse 2022-2023</w:t>
      </w:r>
      <w:r w:rsidR="00B86C2F">
        <w:rPr>
          <w:sz w:val="28"/>
          <w:szCs w:val="28"/>
        </w:rPr>
        <w:t xml:space="preserve"> en Indre et Loire </w:t>
      </w:r>
    </w:p>
    <w:p w:rsidR="00627A69" w:rsidRPr="00951132" w:rsidRDefault="00627A69" w:rsidP="00A206D4">
      <w:pPr>
        <w:jc w:val="center"/>
        <w:rPr>
          <w:sz w:val="24"/>
          <w:szCs w:val="24"/>
        </w:rPr>
      </w:pPr>
    </w:p>
    <w:p w:rsidR="00AF0F54" w:rsidRDefault="002264C2" w:rsidP="00A206D4">
      <w:r>
        <w:t>La</w:t>
      </w:r>
      <w:r w:rsidR="00A206D4">
        <w:t xml:space="preserve"> D</w:t>
      </w:r>
      <w:r w:rsidR="00951132">
        <w:t xml:space="preserve">DT </w:t>
      </w:r>
      <w:r w:rsidR="00AF0F54">
        <w:t>a présenté</w:t>
      </w:r>
      <w:r w:rsidR="00B86C2F">
        <w:t xml:space="preserve"> </w:t>
      </w:r>
      <w:r w:rsidR="00AF0F54">
        <w:t xml:space="preserve">six </w:t>
      </w:r>
      <w:r w:rsidR="00A206D4">
        <w:t>textes</w:t>
      </w:r>
      <w:r w:rsidR="00AF0F54">
        <w:t xml:space="preserve"> à la consultation du public du 29 avril au 20 mai 2022. Il s’agit de textes</w:t>
      </w:r>
      <w:r w:rsidR="00473954">
        <w:t xml:space="preserve"> visant à réglementer</w:t>
      </w:r>
      <w:r w:rsidR="00A206D4">
        <w:t xml:space="preserve"> la pratique de la chasse en Indr</w:t>
      </w:r>
      <w:r w:rsidR="008177D2">
        <w:t>e et Loire pour la campagne 2022-2023</w:t>
      </w:r>
      <w:r w:rsidR="00B86C2F">
        <w:t xml:space="preserve">. </w:t>
      </w:r>
    </w:p>
    <w:p w:rsidR="00A206D4" w:rsidRDefault="00B86C2F" w:rsidP="00A206D4">
      <w:r>
        <w:t xml:space="preserve">Ces arrêtés </w:t>
      </w:r>
      <w:r w:rsidR="00AF0F54">
        <w:t>avaient</w:t>
      </w:r>
      <w:r>
        <w:t xml:space="preserve"> </w:t>
      </w:r>
      <w:r w:rsidR="00AF0F54">
        <w:t xml:space="preserve">auparavant </w:t>
      </w:r>
      <w:r>
        <w:t>été examinés par la Commission Départementale de la Chasse et de la Faune Sauva</w:t>
      </w:r>
      <w:r w:rsidR="00473954">
        <w:t xml:space="preserve">ge </w:t>
      </w:r>
      <w:r w:rsidR="008177D2">
        <w:t>le mercredi 27 avril 2022</w:t>
      </w:r>
      <w:r w:rsidR="00473954">
        <w:t xml:space="preserve">, et approuvés </w:t>
      </w:r>
      <w:r w:rsidR="000472B3">
        <w:t xml:space="preserve">à la majorité </w:t>
      </w:r>
      <w:r w:rsidR="00473954">
        <w:t>en l’état.</w:t>
      </w:r>
    </w:p>
    <w:p w:rsidR="00AF0F54" w:rsidRDefault="00AF0F54" w:rsidP="00A206D4">
      <w:r>
        <w:t xml:space="preserve">La consultation du public a donné lieu aux observations </w:t>
      </w:r>
      <w:r w:rsidR="000472B3">
        <w:t>indiquées ci-après</w:t>
      </w:r>
      <w:r>
        <w:t xml:space="preserve">, </w:t>
      </w:r>
      <w:r w:rsidR="00750212">
        <w:t>et fera l’objet des décisi</w:t>
      </w:r>
      <w:bookmarkStart w:id="0" w:name="_GoBack"/>
      <w:bookmarkEnd w:id="0"/>
      <w:r w:rsidR="000472B3">
        <w:t>ons</w:t>
      </w:r>
      <w:r>
        <w:t xml:space="preserve"> </w:t>
      </w:r>
      <w:r w:rsidR="000472B3">
        <w:t>suivantes</w:t>
      </w:r>
      <w:r>
        <w:t> :</w:t>
      </w:r>
    </w:p>
    <w:p w:rsidR="00951132" w:rsidRDefault="005D66ED" w:rsidP="0095113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951132" w:rsidRPr="00951132">
        <w:rPr>
          <w:b/>
        </w:rPr>
        <w:t>rrêté d’ouverture </w:t>
      </w:r>
      <w:r w:rsidR="00900428">
        <w:rPr>
          <w:b/>
        </w:rPr>
        <w:t xml:space="preserve">(hors blaireau) </w:t>
      </w:r>
      <w:r w:rsidR="00951132" w:rsidRPr="00951132">
        <w:rPr>
          <w:b/>
        </w:rPr>
        <w:t>:</w:t>
      </w:r>
    </w:p>
    <w:p w:rsidR="00AF0F54" w:rsidRDefault="00B86C2F" w:rsidP="00AF0F54">
      <w:r w:rsidRPr="00B86C2F">
        <w:t>Cet arrêté détermine, pour chaque espèce chassable dans le département</w:t>
      </w:r>
      <w:r>
        <w:t xml:space="preserve"> à l’exception du blaireau,</w:t>
      </w:r>
      <w:r w:rsidRPr="00B86C2F">
        <w:t xml:space="preserve"> les dates d’ouverture et de fermeture de la chasse</w:t>
      </w:r>
      <w:r>
        <w:t xml:space="preserve"> en Indre et Loire, ainsi que les modalités régissant cette pratique. </w:t>
      </w:r>
    </w:p>
    <w:p w:rsidR="00AF0F54" w:rsidRDefault="00AF0F54" w:rsidP="00AF0F54">
      <w:r>
        <w:t xml:space="preserve">Ce texte </w:t>
      </w:r>
      <w:r w:rsidR="00197BE5">
        <w:t xml:space="preserve">a fait l’objet de 3 remarques d’ordre général en opposition au principe de la chasse, mais sans </w:t>
      </w:r>
      <w:r w:rsidR="000472B3">
        <w:t>viser les modalités précises du projet d’arrêté.</w:t>
      </w:r>
    </w:p>
    <w:p w:rsidR="000472B3" w:rsidRDefault="000472B3" w:rsidP="00AF0F54">
      <w:r>
        <w:t>L’</w:t>
      </w:r>
      <w:r w:rsidR="00692160">
        <w:t>arrêté</w:t>
      </w:r>
      <w:r>
        <w:t xml:space="preserve"> sera donc signé sans modification.</w:t>
      </w:r>
    </w:p>
    <w:p w:rsidR="003E04FF" w:rsidRDefault="000472B3" w:rsidP="00AF0F54">
      <w:pPr>
        <w:rPr>
          <w:b/>
        </w:rPr>
      </w:pPr>
      <w:r>
        <w:rPr>
          <w:b/>
        </w:rPr>
        <w:t xml:space="preserve">2 - </w:t>
      </w:r>
      <w:r w:rsidR="005D66ED">
        <w:rPr>
          <w:b/>
        </w:rPr>
        <w:t>A</w:t>
      </w:r>
      <w:r w:rsidR="003E04FF" w:rsidRPr="003E04FF">
        <w:rPr>
          <w:b/>
        </w:rPr>
        <w:t>rrêté cadre du plan de chasse du grand gibier</w:t>
      </w:r>
    </w:p>
    <w:p w:rsidR="000472B3" w:rsidRDefault="00B86C2F" w:rsidP="000472B3">
      <w:r w:rsidRPr="00B86C2F">
        <w:t>Cet arrêté fixe les objectifs du plan de chasse du grand gibier en Indr</w:t>
      </w:r>
      <w:r w:rsidR="008177D2">
        <w:t>e et Loire pour la campagne 2022-2023</w:t>
      </w:r>
      <w:r w:rsidR="00700752">
        <w:t>.</w:t>
      </w:r>
      <w:r w:rsidR="00700752" w:rsidRPr="00700752">
        <w:t xml:space="preserve"> </w:t>
      </w:r>
      <w:r w:rsidR="00700752">
        <w:t>La plupart des dispositions des années antérieures sont reconduites</w:t>
      </w:r>
      <w:r w:rsidR="000472B3">
        <w:t>, avec augmentation des « fourchettes » d’attributions afin de faire face aux dégâts provoqués par les cervidés, en hausse importante.</w:t>
      </w:r>
      <w:r w:rsidR="000472B3" w:rsidRPr="000472B3">
        <w:t xml:space="preserve"> </w:t>
      </w:r>
    </w:p>
    <w:p w:rsidR="000472B3" w:rsidRDefault="000472B3" w:rsidP="000472B3">
      <w:r>
        <w:t>Ce texte n’a fait l’objet d’aucune remarque à l’occasion de la consultation du public.</w:t>
      </w:r>
    </w:p>
    <w:p w:rsidR="000472B3" w:rsidRDefault="000472B3" w:rsidP="000472B3">
      <w:r>
        <w:t>L’</w:t>
      </w:r>
      <w:r w:rsidR="00692160">
        <w:t>arrêté</w:t>
      </w:r>
      <w:r>
        <w:t xml:space="preserve"> sera donc signé sans modification.</w:t>
      </w:r>
    </w:p>
    <w:p w:rsidR="003E04FF" w:rsidRPr="000472B3" w:rsidRDefault="000472B3" w:rsidP="000472B3">
      <w:pPr>
        <w:rPr>
          <w:b/>
        </w:rPr>
      </w:pPr>
      <w:r>
        <w:rPr>
          <w:b/>
        </w:rPr>
        <w:t>3</w:t>
      </w:r>
      <w:r w:rsidRPr="000472B3">
        <w:rPr>
          <w:b/>
        </w:rPr>
        <w:t xml:space="preserve">- </w:t>
      </w:r>
      <w:r w:rsidR="003E04FF" w:rsidRPr="000472B3">
        <w:rPr>
          <w:b/>
        </w:rPr>
        <w:t>Arrêté cadre du plan de chasse du lièvre</w:t>
      </w:r>
    </w:p>
    <w:p w:rsidR="000472B3" w:rsidRDefault="00700752" w:rsidP="000472B3">
      <w:r w:rsidRPr="00B86C2F">
        <w:t>Cet arrêté fixe les objectifs</w:t>
      </w:r>
      <w:r>
        <w:t xml:space="preserve"> du plan de chasse</w:t>
      </w:r>
      <w:r w:rsidRPr="00B86C2F">
        <w:t xml:space="preserve"> du </w:t>
      </w:r>
      <w:r>
        <w:t>lièvre</w:t>
      </w:r>
      <w:r w:rsidRPr="00B86C2F">
        <w:t xml:space="preserve"> en Indre et Loire pour la campagne</w:t>
      </w:r>
      <w:r w:rsidR="008177D2">
        <w:t xml:space="preserve"> 2022-2023</w:t>
      </w:r>
      <w:r>
        <w:t>.</w:t>
      </w:r>
      <w:r w:rsidRPr="00700752">
        <w:t xml:space="preserve"> </w:t>
      </w:r>
      <w:r>
        <w:t>La plupart des dispositions des année</w:t>
      </w:r>
      <w:r w:rsidR="000472B3">
        <w:t>s antérieures sont reconduites, l’objectif étant l’augmentation de la population de lièvres dans le département.</w:t>
      </w:r>
    </w:p>
    <w:p w:rsidR="000472B3" w:rsidRDefault="000472B3" w:rsidP="000472B3">
      <w:r>
        <w:t>Ce texte n’a fait l’objet d’aucune remarque à l’occasion de la consultation du public.</w:t>
      </w:r>
    </w:p>
    <w:p w:rsidR="000472B3" w:rsidRDefault="000472B3" w:rsidP="000472B3">
      <w:r>
        <w:t>L’</w:t>
      </w:r>
      <w:r w:rsidR="00692160">
        <w:t>arrêté</w:t>
      </w:r>
      <w:r>
        <w:t xml:space="preserve"> sera donc signé sans modification.</w:t>
      </w:r>
    </w:p>
    <w:p w:rsidR="003E04FF" w:rsidRDefault="000472B3" w:rsidP="000472B3">
      <w:pPr>
        <w:rPr>
          <w:b/>
        </w:rPr>
      </w:pPr>
      <w:r>
        <w:t>4 -</w:t>
      </w:r>
      <w:r w:rsidR="003E04FF" w:rsidRPr="003E04FF">
        <w:rPr>
          <w:b/>
        </w:rPr>
        <w:t>Arrêté fixant la liste départementale des « espèces susceptibles d’occasionner des dégâts »</w:t>
      </w:r>
    </w:p>
    <w:p w:rsidR="00700752" w:rsidRDefault="00700752" w:rsidP="00700752">
      <w:r w:rsidRPr="00700752">
        <w:t xml:space="preserve">Les ESOD </w:t>
      </w:r>
      <w:r>
        <w:t>(</w:t>
      </w:r>
      <w:r w:rsidRPr="00700752">
        <w:t>espèces susceptibles d’occasionner des dégâts</w:t>
      </w:r>
      <w:r>
        <w:t>) font l’objet d’une désignation via trois listes distinctes</w:t>
      </w:r>
      <w:r w:rsidR="00CA6F6D">
        <w:t xml:space="preserve"> </w:t>
      </w:r>
      <w:r>
        <w:t>: une liste nationale, une liste nationale sur proposition départementale, et une liste purement départementale arrêtée chaque année après avis de la CDCFS</w:t>
      </w:r>
      <w:r w:rsidR="00CA6F6D">
        <w:t>.</w:t>
      </w:r>
    </w:p>
    <w:p w:rsidR="00CA6F6D" w:rsidRPr="00700752" w:rsidRDefault="00CA6F6D" w:rsidP="00700752">
      <w:r>
        <w:t>La liste départementale doit déterminer la liste des ESOD parmi les espèces suivantes : pigeon ramier, lapin de garenne et sanglier.</w:t>
      </w:r>
    </w:p>
    <w:p w:rsidR="00CA6F6D" w:rsidRDefault="008177D2" w:rsidP="00CA6F6D">
      <w:r>
        <w:lastRenderedPageBreak/>
        <w:t>Est proposé pour 2022</w:t>
      </w:r>
      <w:r w:rsidR="00CA6F6D">
        <w:t>-</w:t>
      </w:r>
      <w:proofErr w:type="gramStart"/>
      <w:r w:rsidR="00CA6F6D">
        <w:t>202</w:t>
      </w:r>
      <w:r>
        <w:t>3</w:t>
      </w:r>
      <w:r w:rsidR="00CA6F6D">
        <w:t xml:space="preserve">  le</w:t>
      </w:r>
      <w:proofErr w:type="gramEnd"/>
      <w:r w:rsidR="00CA6F6D">
        <w:t xml:space="preserve"> m</w:t>
      </w:r>
      <w:r w:rsidR="003E04FF">
        <w:t>aintien des seules espèce</w:t>
      </w:r>
      <w:r w:rsidR="00CA6F6D">
        <w:t>s sangliers et pigeons ramiers en tant qu’ESOD en raison des dégâts aux culture</w:t>
      </w:r>
      <w:r w:rsidR="00692160">
        <w:t>s dont ils sont à l’origine, et</w:t>
      </w:r>
      <w:r w:rsidR="00CA6F6D">
        <w:t>, pour le sanglier, de ses atteintes à la sécurité publique.</w:t>
      </w:r>
    </w:p>
    <w:p w:rsidR="000472B3" w:rsidRDefault="000472B3" w:rsidP="000472B3">
      <w:r>
        <w:t>Ce texte n’a fait l’objet d’aucune remarque à l’occasion de la consultation du public.</w:t>
      </w:r>
    </w:p>
    <w:p w:rsidR="000472B3" w:rsidRDefault="000472B3" w:rsidP="000472B3">
      <w:r>
        <w:t>L’</w:t>
      </w:r>
      <w:r w:rsidR="00692160">
        <w:t>arrêté</w:t>
      </w:r>
      <w:r>
        <w:t xml:space="preserve"> sera donc signé sans modification.</w:t>
      </w:r>
    </w:p>
    <w:p w:rsidR="000472B3" w:rsidRPr="000472B3" w:rsidRDefault="000472B3" w:rsidP="000472B3">
      <w:pPr>
        <w:pStyle w:val="Paragraphedeliste"/>
        <w:numPr>
          <w:ilvl w:val="0"/>
          <w:numId w:val="7"/>
        </w:numPr>
        <w:rPr>
          <w:b/>
        </w:rPr>
      </w:pPr>
      <w:r w:rsidRPr="000472B3">
        <w:rPr>
          <w:b/>
        </w:rPr>
        <w:t>Arrêté fixant la liste des communes avec présence avérée de loutre et/ ou de castor.</w:t>
      </w:r>
    </w:p>
    <w:p w:rsidR="000472B3" w:rsidRDefault="000472B3" w:rsidP="000472B3">
      <w:pPr>
        <w:pStyle w:val="NormalWeb"/>
        <w:spacing w:after="0"/>
        <w:rPr>
          <w:rFonts w:asciiTheme="majorHAnsi" w:hAnsiTheme="majorHAnsi" w:cstheme="majorHAnsi"/>
          <w:sz w:val="22"/>
          <w:szCs w:val="22"/>
        </w:rPr>
      </w:pPr>
      <w:r w:rsidRPr="00627A69">
        <w:rPr>
          <w:rFonts w:asciiTheme="majorHAnsi" w:hAnsiTheme="majorHAnsi" w:cstheme="majorHAnsi"/>
          <w:sz w:val="22"/>
          <w:szCs w:val="22"/>
        </w:rPr>
        <w:t xml:space="preserve">Un nouveau recensement réalisé par l’OFB conclut à la présence de </w:t>
      </w:r>
      <w:r>
        <w:rPr>
          <w:rFonts w:asciiTheme="majorHAnsi" w:hAnsiTheme="majorHAnsi" w:cstheme="majorHAnsi"/>
          <w:sz w:val="22"/>
          <w:szCs w:val="22"/>
        </w:rPr>
        <w:t>loutre et/ ou de castor dans 156</w:t>
      </w:r>
      <w:r w:rsidRPr="00627A69">
        <w:rPr>
          <w:rFonts w:asciiTheme="majorHAnsi" w:hAnsiTheme="majorHAnsi" w:cstheme="majorHAnsi"/>
          <w:sz w:val="22"/>
          <w:szCs w:val="22"/>
        </w:rPr>
        <w:t xml:space="preserve"> communes du département</w:t>
      </w:r>
      <w:r>
        <w:rPr>
          <w:rFonts w:asciiTheme="majorHAnsi" w:hAnsiTheme="majorHAnsi" w:cstheme="majorHAnsi"/>
          <w:sz w:val="22"/>
          <w:szCs w:val="22"/>
        </w:rPr>
        <w:t>. (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cf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carte en piè</w:t>
      </w:r>
      <w:r w:rsidRPr="00627A69">
        <w:rPr>
          <w:rFonts w:asciiTheme="majorHAnsi" w:hAnsiTheme="majorHAnsi" w:cstheme="majorHAnsi"/>
          <w:sz w:val="22"/>
          <w:szCs w:val="22"/>
        </w:rPr>
        <w:t>ce jointe de l’arrêté)</w:t>
      </w:r>
      <w:r>
        <w:rPr>
          <w:rFonts w:asciiTheme="majorHAnsi" w:hAnsiTheme="majorHAnsi" w:cstheme="majorHAnsi"/>
          <w:sz w:val="22"/>
          <w:szCs w:val="22"/>
        </w:rPr>
        <w:t xml:space="preserve">, soit 3 de plus que l’an dernier (LE LOUROUX, SAINT JEAN SAINT GERMAIN et VERNEUIL SUR INDRE) Cet inventaire exhaustif se substitue à ceux reconduits chaque année au cours des années antérieures et nécessitait une actualisation. </w:t>
      </w:r>
      <w:r w:rsidRPr="00627A69">
        <w:rPr>
          <w:rFonts w:asciiTheme="majorHAnsi" w:hAnsiTheme="majorHAnsi" w:cstheme="majorHAnsi"/>
          <w:sz w:val="22"/>
          <w:szCs w:val="22"/>
        </w:rPr>
        <w:t>Dans ces communes, le piégeage avec des « pièges qui tuent</w:t>
      </w:r>
      <w:r>
        <w:rPr>
          <w:rFonts w:asciiTheme="majorHAnsi" w:hAnsiTheme="majorHAnsi" w:cstheme="majorHAnsi"/>
          <w:sz w:val="22"/>
          <w:szCs w:val="22"/>
        </w:rPr>
        <w:t> »</w:t>
      </w:r>
      <w:r w:rsidRPr="00627A6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(catégorie 2 et 5) </w:t>
      </w:r>
      <w:r w:rsidRPr="00627A69">
        <w:rPr>
          <w:rFonts w:asciiTheme="majorHAnsi" w:hAnsiTheme="majorHAnsi" w:cstheme="majorHAnsi"/>
          <w:sz w:val="22"/>
          <w:szCs w:val="22"/>
        </w:rPr>
        <w:t>est interdit aux abords des cours d'eaux et bras morts, marais, canaux, plans d'eaux et étangs, jusqu'à la distance de 200 mètres de la rive.</w:t>
      </w:r>
    </w:p>
    <w:p w:rsidR="000472B3" w:rsidRDefault="000472B3" w:rsidP="000472B3"/>
    <w:p w:rsidR="000472B3" w:rsidRDefault="000472B3" w:rsidP="000472B3">
      <w:r>
        <w:t>Ce texte n’a fait l’objet d’aucune remarque à l’occasion de la consultation du public.</w:t>
      </w:r>
    </w:p>
    <w:p w:rsidR="000472B3" w:rsidRDefault="000472B3" w:rsidP="000472B3">
      <w:r>
        <w:t>L’</w:t>
      </w:r>
      <w:r w:rsidR="00692160">
        <w:t>arrêté</w:t>
      </w:r>
      <w:r>
        <w:t xml:space="preserve"> sera donc signé sans modification.</w:t>
      </w:r>
    </w:p>
    <w:p w:rsidR="00900428" w:rsidRPr="00473954" w:rsidRDefault="00900428" w:rsidP="000472B3">
      <w:pPr>
        <w:pStyle w:val="Paragraphedeliste"/>
        <w:numPr>
          <w:ilvl w:val="0"/>
          <w:numId w:val="7"/>
        </w:numPr>
        <w:rPr>
          <w:b/>
        </w:rPr>
      </w:pPr>
      <w:r w:rsidRPr="00473954">
        <w:rPr>
          <w:b/>
        </w:rPr>
        <w:t>Arrêté d’ouverture spécifique du blaireau</w:t>
      </w:r>
    </w:p>
    <w:p w:rsidR="006A62F7" w:rsidRDefault="00900428" w:rsidP="006A62F7">
      <w:r>
        <w:t xml:space="preserve">Dans l’attente de la décision du tribunal administratif relatif au recours présenté par l’association « one </w:t>
      </w:r>
      <w:proofErr w:type="spellStart"/>
      <w:r>
        <w:t>voice</w:t>
      </w:r>
      <w:proofErr w:type="spellEnd"/>
      <w:r>
        <w:t> » contre l’arrêté fixant les périodes complémentaires pour le déterrage du blaireau</w:t>
      </w:r>
      <w:r w:rsidR="00473954">
        <w:t xml:space="preserve"> en 2020-20</w:t>
      </w:r>
      <w:r w:rsidR="006A62F7">
        <w:t>21</w:t>
      </w:r>
      <w:r w:rsidR="00627A69">
        <w:t>, il est proposé de reconduire le principe d</w:t>
      </w:r>
      <w:r>
        <w:t xml:space="preserve">es </w:t>
      </w:r>
      <w:r w:rsidR="002264C2">
        <w:t>périodes complémentaires</w:t>
      </w:r>
      <w:r w:rsidR="008177D2">
        <w:t xml:space="preserve"> en 2022-2023</w:t>
      </w:r>
      <w:r>
        <w:t xml:space="preserve">, </w:t>
      </w:r>
      <w:r w:rsidR="006A62F7">
        <w:t>en conservant les dates du 1</w:t>
      </w:r>
      <w:r w:rsidR="006A62F7" w:rsidRPr="006A62F7">
        <w:rPr>
          <w:vertAlign w:val="superscript"/>
        </w:rPr>
        <w:t>er</w:t>
      </w:r>
      <w:r w:rsidR="008177D2">
        <w:t xml:space="preserve"> juillet 2022 et du 15 mai 2023</w:t>
      </w:r>
      <w:r w:rsidR="006A62F7">
        <w:t xml:space="preserve"> pour le début des deux périodes de déterrage.</w:t>
      </w:r>
    </w:p>
    <w:p w:rsidR="00CA6F6D" w:rsidRDefault="00CA6F6D" w:rsidP="006A62F7">
      <w:r>
        <w:t xml:space="preserve">Cette proposition s’appuie sur </w:t>
      </w:r>
      <w:r w:rsidR="008177D2">
        <w:t xml:space="preserve">un faisceau d’indicateurs </w:t>
      </w:r>
      <w:r w:rsidR="00043186">
        <w:t xml:space="preserve">concordant </w:t>
      </w:r>
      <w:r w:rsidR="008177D2">
        <w:t xml:space="preserve">permettant de constater </w:t>
      </w:r>
      <w:r>
        <w:t xml:space="preserve">l’augmentation de la population de blaireaux en Indre et Loire attestée par l’augmentation des dégâts </w:t>
      </w:r>
      <w:r w:rsidR="008177D2">
        <w:t xml:space="preserve">dans les cultures, ainsi qu’en vergers et en </w:t>
      </w:r>
      <w:r>
        <w:t>vignes, la hausse des prises dans les pièges et en battues administratives</w:t>
      </w:r>
      <w:r w:rsidR="00473954">
        <w:t xml:space="preserve"> et la multiplication des atteintes à la sécurité publique par la création des t</w:t>
      </w:r>
      <w:r w:rsidR="008177D2">
        <w:t xml:space="preserve">erriers sous les habitations, </w:t>
      </w:r>
      <w:r w:rsidR="00473954">
        <w:t>les infrastructures routières</w:t>
      </w:r>
      <w:r w:rsidR="008177D2">
        <w:t>, et les digues, en particulier de la Loire</w:t>
      </w:r>
      <w:r w:rsidR="00473954">
        <w:t>.</w:t>
      </w:r>
    </w:p>
    <w:p w:rsidR="00043186" w:rsidRDefault="00043186" w:rsidP="006A62F7">
      <w:r>
        <w:t>Ces indicateurs ont été constatés par la commission départementale de la chasse et de la faune sauvage qui s’est prononcée favorablement sur le texte proposé par 20 voix pour, 2 contre et 1 abstention.</w:t>
      </w:r>
    </w:p>
    <w:p w:rsidR="00473954" w:rsidRDefault="00473954" w:rsidP="006A62F7">
      <w:r>
        <w:t>Elle est également justifiée par l’impossibilité de réguler ce gibier en chasse à tir, le blaireau étant strictement nocturne.</w:t>
      </w:r>
    </w:p>
    <w:p w:rsidR="000472B3" w:rsidRDefault="000472B3" w:rsidP="000472B3">
      <w:r>
        <w:t>Ce texte a fait l</w:t>
      </w:r>
      <w:r w:rsidR="00692160">
        <w:t>’o</w:t>
      </w:r>
      <w:r>
        <w:t xml:space="preserve">bjet de </w:t>
      </w:r>
      <w:r w:rsidR="00AF3242">
        <w:t>143 avis : 87 contre ses dispositions, et 56 pour.</w:t>
      </w:r>
    </w:p>
    <w:p w:rsidR="00AF3242" w:rsidRDefault="00AF3242" w:rsidP="000472B3">
      <w:r>
        <w:t>Les arguments des partisans de l’interdiction des périodes complémentaires sont les suivants :</w:t>
      </w:r>
    </w:p>
    <w:p w:rsidR="00AF3242" w:rsidRDefault="00692160" w:rsidP="00AF3242">
      <w:pPr>
        <w:pStyle w:val="Paragraphedeliste"/>
        <w:numPr>
          <w:ilvl w:val="0"/>
          <w:numId w:val="8"/>
        </w:numPr>
      </w:pPr>
      <w:r>
        <w:t>Les effectif</w:t>
      </w:r>
      <w:r w:rsidR="00AF3242">
        <w:t>s ne sont pas connus avec précision.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La destruction des jeunes est en contradiction avec la convention de Berne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 déterrage est une pratique barbare et cruelle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Les jeunes blaireaux ne sont pas émancipés le 15 mai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 déterr</w:t>
      </w:r>
      <w:r w:rsidR="00692160">
        <w:t xml:space="preserve">age entraine la dégradation des </w:t>
      </w:r>
      <w:r>
        <w:t>terriers qui servent à d’autres espèces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Les dégâts ne sont pas chiffrés avec précision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lastRenderedPageBreak/>
        <w:t xml:space="preserve">La destruction des blaireaux s’ajoute à </w:t>
      </w:r>
      <w:r w:rsidR="00692160">
        <w:t>la dété</w:t>
      </w:r>
      <w:r>
        <w:t>rioration globale de la biodiversité</w:t>
      </w:r>
    </w:p>
    <w:p w:rsidR="00AF3242" w:rsidRDefault="00AF3242" w:rsidP="00AF3242">
      <w:r>
        <w:t>Les arguments de la poursuite de l’ouverture anticipée du déterrage sont les suivants :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 xml:space="preserve">Les collisions </w:t>
      </w:r>
      <w:r w:rsidR="00692160">
        <w:t xml:space="preserve">routières </w:t>
      </w:r>
      <w:r>
        <w:t>avec les blaireaux sont de plus en plus fréquentes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La population est en forte hausse en Indre et Loire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Les dégâts directs aux cultures sont en augmentation, d’autant qu’ils sont souvent attribués, à tort, aux sangliers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Les accidents d’engins agricoles dans les trous des terriers sont fréquents et peuvent avoir des conséquences dramatiques</w:t>
      </w:r>
    </w:p>
    <w:p w:rsidR="00AF3242" w:rsidRDefault="00AF3242" w:rsidP="00AF3242">
      <w:pPr>
        <w:pStyle w:val="Paragraphedeliste"/>
        <w:numPr>
          <w:ilvl w:val="0"/>
          <w:numId w:val="8"/>
        </w:numPr>
      </w:pPr>
      <w:r>
        <w:t>En cas d’interdiction, il est à crai</w:t>
      </w:r>
      <w:r w:rsidR="00692160">
        <w:t>n</w:t>
      </w:r>
      <w:r>
        <w:t xml:space="preserve">dre de voir </w:t>
      </w:r>
      <w:r w:rsidR="00692160">
        <w:t xml:space="preserve">se multiplier </w:t>
      </w:r>
      <w:r>
        <w:t>des destructions « sauvages » avec des moyens illégaux et non sélectifs (gaz)</w:t>
      </w:r>
    </w:p>
    <w:p w:rsidR="00AF3242" w:rsidRDefault="00AF3242" w:rsidP="00AF3242">
      <w:r>
        <w:t>En raison de ces avis très partagés, et dans l’attente de la décision du tribunal administratif concernant un texte antérieur ayant le même objet</w:t>
      </w:r>
      <w:r w:rsidR="00692160">
        <w:t>, l’avis favorable majoritaire de la CDCFS est retenu pour une signature de l’arrêté sans modification.</w:t>
      </w:r>
    </w:p>
    <w:p w:rsidR="001D20DF" w:rsidRDefault="001D20DF" w:rsidP="00627A69">
      <w:pPr>
        <w:pStyle w:val="NormalWeb"/>
        <w:spacing w:after="0"/>
        <w:rPr>
          <w:rFonts w:asciiTheme="majorHAnsi" w:hAnsiTheme="majorHAnsi" w:cstheme="majorHAnsi"/>
          <w:sz w:val="22"/>
          <w:szCs w:val="22"/>
        </w:rPr>
      </w:pPr>
    </w:p>
    <w:p w:rsidR="00900428" w:rsidRPr="00627A69" w:rsidRDefault="00313942" w:rsidP="00900428">
      <w:pPr>
        <w:rPr>
          <w:rFonts w:asciiTheme="majorHAnsi" w:hAnsiTheme="majorHAnsi" w:cstheme="majorHAnsi"/>
        </w:rPr>
      </w:pPr>
      <w:r w:rsidRPr="00627A69">
        <w:rPr>
          <w:rFonts w:asciiTheme="majorHAnsi" w:hAnsiTheme="majorHAnsi" w:cstheme="majorHAnsi"/>
        </w:rPr>
        <w:t>.</w:t>
      </w:r>
    </w:p>
    <w:p w:rsidR="00900428" w:rsidRDefault="00900428" w:rsidP="00900428">
      <w:pPr>
        <w:pStyle w:val="Paragraphedeliste"/>
      </w:pPr>
    </w:p>
    <w:p w:rsidR="00900428" w:rsidRDefault="00900428" w:rsidP="00900428">
      <w:pPr>
        <w:pStyle w:val="Paragraphedeliste"/>
      </w:pPr>
    </w:p>
    <w:p w:rsidR="00900428" w:rsidRDefault="00900428" w:rsidP="00900428">
      <w:pPr>
        <w:pStyle w:val="Paragraphedeliste"/>
      </w:pPr>
    </w:p>
    <w:p w:rsidR="002264C2" w:rsidRDefault="002264C2" w:rsidP="00900428">
      <w:pPr>
        <w:pStyle w:val="Paragraphedeliste"/>
      </w:pPr>
    </w:p>
    <w:sectPr w:rsidR="0022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B2A"/>
    <w:multiLevelType w:val="hybridMultilevel"/>
    <w:tmpl w:val="2C6A4E82"/>
    <w:lvl w:ilvl="0" w:tplc="9A680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7A7"/>
    <w:multiLevelType w:val="hybridMultilevel"/>
    <w:tmpl w:val="A0847924"/>
    <w:lvl w:ilvl="0" w:tplc="9A680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597"/>
    <w:multiLevelType w:val="hybridMultilevel"/>
    <w:tmpl w:val="682AAC26"/>
    <w:lvl w:ilvl="0" w:tplc="9F32E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6D01"/>
    <w:multiLevelType w:val="hybridMultilevel"/>
    <w:tmpl w:val="D7987F30"/>
    <w:lvl w:ilvl="0" w:tplc="B498C9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CF67CC"/>
    <w:multiLevelType w:val="hybridMultilevel"/>
    <w:tmpl w:val="FD5EB830"/>
    <w:lvl w:ilvl="0" w:tplc="94529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5A21"/>
    <w:multiLevelType w:val="hybridMultilevel"/>
    <w:tmpl w:val="866418E4"/>
    <w:lvl w:ilvl="0" w:tplc="A32ECC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A69"/>
    <w:multiLevelType w:val="hybridMultilevel"/>
    <w:tmpl w:val="411ADAC8"/>
    <w:lvl w:ilvl="0" w:tplc="9A6806F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34C7"/>
    <w:multiLevelType w:val="hybridMultilevel"/>
    <w:tmpl w:val="384E6DE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4"/>
    <w:rsid w:val="00043186"/>
    <w:rsid w:val="000472B3"/>
    <w:rsid w:val="00197BE5"/>
    <w:rsid w:val="001D20DF"/>
    <w:rsid w:val="002264C2"/>
    <w:rsid w:val="00313942"/>
    <w:rsid w:val="003E04FF"/>
    <w:rsid w:val="00473954"/>
    <w:rsid w:val="005D41FF"/>
    <w:rsid w:val="005D66ED"/>
    <w:rsid w:val="00627A69"/>
    <w:rsid w:val="00692160"/>
    <w:rsid w:val="006A62F7"/>
    <w:rsid w:val="00700752"/>
    <w:rsid w:val="00750212"/>
    <w:rsid w:val="008177D2"/>
    <w:rsid w:val="00900428"/>
    <w:rsid w:val="00951132"/>
    <w:rsid w:val="00A206D4"/>
    <w:rsid w:val="00AF0F54"/>
    <w:rsid w:val="00AF3242"/>
    <w:rsid w:val="00B01E28"/>
    <w:rsid w:val="00B86C2F"/>
    <w:rsid w:val="00C55B12"/>
    <w:rsid w:val="00CA6F6D"/>
    <w:rsid w:val="00E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EB2E"/>
  <w15:chartTrackingRefBased/>
  <w15:docId w15:val="{9647C0C8-0AC4-41D5-845A-1AAC6C3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1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PINARD</dc:creator>
  <cp:keywords/>
  <dc:description/>
  <cp:lastModifiedBy>MASSE Virginie</cp:lastModifiedBy>
  <cp:revision>2</cp:revision>
  <dcterms:created xsi:type="dcterms:W3CDTF">2022-05-23T10:48:00Z</dcterms:created>
  <dcterms:modified xsi:type="dcterms:W3CDTF">2022-05-23T10:48:00Z</dcterms:modified>
</cp:coreProperties>
</file>